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ТОО «Институт географии»</w:t>
      </w:r>
    </w:p>
    <w:p w:rsidR="00E3578C" w:rsidRPr="00E3578C" w:rsidRDefault="00E3578C" w:rsidP="00E3578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Одобрено</w:t>
      </w:r>
    </w:p>
    <w:p w:rsidR="00E3578C" w:rsidRPr="00E3578C" w:rsidRDefault="00E3578C" w:rsidP="00E3578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 xml:space="preserve">Ученым советом ТОО </w:t>
      </w:r>
    </w:p>
    <w:p w:rsidR="00E3578C" w:rsidRPr="00E3578C" w:rsidRDefault="00E3578C" w:rsidP="00E3578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«Институт географии»</w:t>
      </w:r>
    </w:p>
    <w:p w:rsidR="00E3578C" w:rsidRPr="00E3578C" w:rsidRDefault="00E3578C" w:rsidP="00E3578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Протокол № 9 от 05.10.2018 г.</w:t>
      </w:r>
    </w:p>
    <w:p w:rsidR="00E3578C" w:rsidRPr="00E3578C" w:rsidRDefault="00E3578C" w:rsidP="00E3578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МЕТОДИКА ОЦЕНКИ СТЕПЕНИ СЕЛЕВОЙ ОПАСНОСТИ</w:t>
      </w: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Алматы, 2018</w:t>
      </w:r>
    </w:p>
    <w:p w:rsidR="00E3578C" w:rsidRDefault="00E3578C" w:rsidP="00E3578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Методика оценки степени селевой опасности</w:t>
      </w:r>
      <w:r>
        <w:rPr>
          <w:rFonts w:ascii="Times New Roman" w:hAnsi="Times New Roman"/>
          <w:sz w:val="28"/>
          <w:szCs w:val="28"/>
        </w:rPr>
        <w:t xml:space="preserve"> разработана ТОО «Институт географии» в рамках программы грантового финансирования Комитета науки Министерства образования и науки Республики Казахстан АР05132214 «Селебезопасность Республики Казахстан: Научное обоснование системы обеспечения селебезопасности в горных и предгорных районах Иле Алатау». Методика обсуждена и одобрена на заседании Ученого совета ТОО «Институт географии» 05.10.2018 г., протокол № 9.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С</w:t>
      </w:r>
      <w:r w:rsidRPr="00E3578C">
        <w:rPr>
          <w:rFonts w:ascii="Times New Roman" w:hAnsi="Times New Roman"/>
          <w:sz w:val="28"/>
          <w:szCs w:val="28"/>
          <w:lang w:val="kk-KZ"/>
        </w:rPr>
        <w:t>елев</w:t>
      </w:r>
      <w:r>
        <w:rPr>
          <w:rFonts w:ascii="Times New Roman" w:hAnsi="Times New Roman"/>
          <w:sz w:val="28"/>
          <w:szCs w:val="28"/>
          <w:lang w:val="kk-KZ"/>
        </w:rPr>
        <w:t>ая</w:t>
      </w:r>
      <w:r w:rsidRPr="00E3578C">
        <w:rPr>
          <w:rFonts w:ascii="Times New Roman" w:hAnsi="Times New Roman"/>
          <w:sz w:val="28"/>
          <w:szCs w:val="28"/>
          <w:lang w:val="kk-KZ"/>
        </w:rPr>
        <w:t xml:space="preserve"> опасность </w:t>
      </w:r>
      <w:r>
        <w:rPr>
          <w:rFonts w:ascii="Times New Roman" w:hAnsi="Times New Roman"/>
          <w:sz w:val="28"/>
          <w:szCs w:val="28"/>
          <w:lang w:val="kk-KZ"/>
        </w:rPr>
        <w:t xml:space="preserve">– это </w:t>
      </w:r>
      <w:r w:rsidRPr="00E3578C">
        <w:rPr>
          <w:rFonts w:ascii="Times New Roman" w:hAnsi="Times New Roman"/>
          <w:sz w:val="28"/>
          <w:szCs w:val="28"/>
          <w:lang w:val="kk-KZ"/>
        </w:rPr>
        <w:t xml:space="preserve"> угроза потерь жизни людей и материальных ценностей вследствии схода селя</w:t>
      </w:r>
      <w:r w:rsidRPr="00E3578C">
        <w:rPr>
          <w:rFonts w:ascii="Times New Roman" w:hAnsi="Times New Roman"/>
          <w:sz w:val="28"/>
          <w:szCs w:val="28"/>
        </w:rPr>
        <w:t xml:space="preserve">. Для оценки селевой опасности используются такие показатели, как повторяемость селей, объемы селевых выносов, густота сети селевых русел, </w:t>
      </w:r>
      <w:proofErr w:type="spellStart"/>
      <w:r w:rsidRPr="00E3578C">
        <w:rPr>
          <w:rFonts w:ascii="Times New Roman" w:hAnsi="Times New Roman"/>
          <w:sz w:val="28"/>
          <w:szCs w:val="28"/>
        </w:rPr>
        <w:t>пораженность</w:t>
      </w:r>
      <w:proofErr w:type="spellEnd"/>
      <w:r w:rsidRPr="00E3578C">
        <w:rPr>
          <w:rFonts w:ascii="Times New Roman" w:hAnsi="Times New Roman"/>
          <w:sz w:val="28"/>
          <w:szCs w:val="28"/>
        </w:rPr>
        <w:t xml:space="preserve"> территории. 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Результатом оценки селевой опасности являются карты селевой опасности.</w:t>
      </w:r>
      <w:r w:rsidRPr="00E3578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3578C">
        <w:rPr>
          <w:rFonts w:ascii="Times New Roman" w:hAnsi="Times New Roman"/>
          <w:sz w:val="28"/>
          <w:szCs w:val="28"/>
        </w:rPr>
        <w:t>К</w:t>
      </w:r>
      <w:proofErr w:type="gramEnd"/>
      <w:r w:rsidRPr="00E3578C">
        <w:rPr>
          <w:rFonts w:ascii="Times New Roman" w:hAnsi="Times New Roman"/>
          <w:sz w:val="28"/>
          <w:szCs w:val="28"/>
        </w:rPr>
        <w:t>арты разных масштабов (мелкого, среднего, крупного) предназначены для разных целей и отличаются методами составления и содержанием.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Мелкомасштабные карты селевой опасности (1:1 млн и мельче) имеют научное справочное предназначение и чаще всего включаются в состав комплексных атласов. Основным элементом содержания карты является селеопасный район, для которого показываются такие показатели селей, как повторяемость, объем, тип, генезис.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На среднемасштабных картах селевой опасности (1:100 000 – 1:500 000) выделяются селевые бассейны с осредненными показателями повторяемости и объемов селей.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Крупномасштабные карты селевой опасности (1:50 000 и крупнее) предназначены для разработки проектов защиты от селей. Главными элементами содержания таких карт являются селевые очаги и селевые русла, которые характеризуются количественными показателями селевых потоков разной повторяемости.</w:t>
      </w:r>
    </w:p>
    <w:p w:rsid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lastRenderedPageBreak/>
        <w:t xml:space="preserve">В данном проекте на территорию северного склона Иле Алатау составляются карты селевой опасности среднего масштаба (1:100 000) с элементами содержания крупномасштабных карт. Карты селевой опасности на эту территорию в таком масштабе и с таким содержанием составляются впервые. Методика составления карт является оригинальной. </w:t>
      </w:r>
    </w:p>
    <w:p w:rsidR="00E3578C" w:rsidRDefault="00E3578C" w:rsidP="00E357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МЕТОДИКА ОЦЕНКИ СТЕПЕНИ СЕЛЕВОЙ ОПАСНОСТИ</w:t>
      </w:r>
    </w:p>
    <w:p w:rsidR="00E3578C" w:rsidRDefault="00E3578C" w:rsidP="00E357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 xml:space="preserve">Показателями селевой опасности являются объем и повторяемость селей, но, в отличие от обычных среднемасштабных карт, эти показатели не </w:t>
      </w:r>
      <w:proofErr w:type="spellStart"/>
      <w:r w:rsidRPr="00E3578C">
        <w:rPr>
          <w:rFonts w:ascii="Times New Roman" w:hAnsi="Times New Roman"/>
          <w:sz w:val="28"/>
          <w:szCs w:val="28"/>
        </w:rPr>
        <w:t>осредняются</w:t>
      </w:r>
      <w:proofErr w:type="spellEnd"/>
      <w:r w:rsidRPr="00E3578C">
        <w:rPr>
          <w:rFonts w:ascii="Times New Roman" w:hAnsi="Times New Roman"/>
          <w:sz w:val="28"/>
          <w:szCs w:val="28"/>
        </w:rPr>
        <w:t xml:space="preserve"> по бассейнам, а показываются индивидуально для каждого селевого русла.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По объему сели разделены на 4 категории: мелкие (менее 10 тыс. м</w:t>
      </w:r>
      <w:r w:rsidRPr="00E3578C">
        <w:rPr>
          <w:rFonts w:ascii="Times New Roman" w:hAnsi="Times New Roman"/>
          <w:sz w:val="28"/>
          <w:szCs w:val="28"/>
          <w:vertAlign w:val="superscript"/>
        </w:rPr>
        <w:t>3</w:t>
      </w:r>
      <w:r w:rsidRPr="00E3578C">
        <w:rPr>
          <w:rFonts w:ascii="Times New Roman" w:hAnsi="Times New Roman"/>
          <w:sz w:val="28"/>
          <w:szCs w:val="28"/>
        </w:rPr>
        <w:t>), средние (10-100 тыс. м</w:t>
      </w:r>
      <w:r w:rsidRPr="00E3578C">
        <w:rPr>
          <w:rFonts w:ascii="Times New Roman" w:hAnsi="Times New Roman"/>
          <w:sz w:val="28"/>
          <w:szCs w:val="28"/>
          <w:vertAlign w:val="superscript"/>
        </w:rPr>
        <w:t>3</w:t>
      </w:r>
      <w:r w:rsidRPr="00E3578C">
        <w:rPr>
          <w:rFonts w:ascii="Times New Roman" w:hAnsi="Times New Roman"/>
          <w:sz w:val="28"/>
          <w:szCs w:val="28"/>
        </w:rPr>
        <w:t>), крупные (100-1000 тыс. м</w:t>
      </w:r>
      <w:r w:rsidRPr="00E3578C">
        <w:rPr>
          <w:rFonts w:ascii="Times New Roman" w:hAnsi="Times New Roman"/>
          <w:sz w:val="28"/>
          <w:szCs w:val="28"/>
          <w:vertAlign w:val="superscript"/>
        </w:rPr>
        <w:t>3</w:t>
      </w:r>
      <w:r w:rsidRPr="00E3578C">
        <w:rPr>
          <w:rFonts w:ascii="Times New Roman" w:hAnsi="Times New Roman"/>
          <w:sz w:val="28"/>
          <w:szCs w:val="28"/>
        </w:rPr>
        <w:t>) и очень крупные (более 1000 тыс. м</w:t>
      </w:r>
      <w:r w:rsidRPr="00E3578C">
        <w:rPr>
          <w:rFonts w:ascii="Times New Roman" w:hAnsi="Times New Roman"/>
          <w:sz w:val="28"/>
          <w:szCs w:val="28"/>
          <w:vertAlign w:val="superscript"/>
        </w:rPr>
        <w:t>3</w:t>
      </w:r>
      <w:r w:rsidRPr="00E3578C">
        <w:rPr>
          <w:rFonts w:ascii="Times New Roman" w:hAnsi="Times New Roman"/>
          <w:sz w:val="28"/>
          <w:szCs w:val="28"/>
        </w:rPr>
        <w:t>). По повторяемости сели разделены также на 4 категории: очень часто повторяющиеся (чаще 1 раза в 20 лет), часто повторяющиеся (1 раз в 20-50 лет), редко повторяющиеся (1 раз в 50-100 лет) и очень редко повторяющиеся (реже 1 раза в 100 лет).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По данным многолетних наблюдений за селями в Иле Алатау установлены эмпирические зависимости характеристик селей (расходы, скорость, высота валов, диаметр перемещаемых  валунов) от объема селя (таблица 1). В этой же таблице приведены категории чрезвычайных ситуаций, которые могут быть вызваны такими селями. Категории чрезвычайных ситуаций приведены по классификации, принятой в Комитете по чрезвычайным ситуациям Республики Казахстан, (таблица.2), утвержденной постановлением Правительства Республики Казахстан № 1310 от 13 декабря 2004 года.</w:t>
      </w:r>
    </w:p>
    <w:p w:rsid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lastRenderedPageBreak/>
        <w:t>Таблица 1 – Категории селей по масштабности проявлений</w:t>
      </w:r>
    </w:p>
    <w:p w:rsidR="00E3578C" w:rsidRPr="00E3578C" w:rsidRDefault="00E3578C" w:rsidP="00E357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1335"/>
        <w:gridCol w:w="1324"/>
        <w:gridCol w:w="1325"/>
        <w:gridCol w:w="1324"/>
        <w:gridCol w:w="1325"/>
        <w:gridCol w:w="1325"/>
        <w:gridCol w:w="1613"/>
      </w:tblGrid>
      <w:tr w:rsidR="00E3578C" w:rsidRPr="00E3578C" w:rsidTr="00F54594">
        <w:tc>
          <w:tcPr>
            <w:tcW w:w="1335" w:type="dxa"/>
            <w:vMerge w:val="restart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Категория селей</w:t>
            </w:r>
          </w:p>
        </w:tc>
        <w:tc>
          <w:tcPr>
            <w:tcW w:w="6623" w:type="dxa"/>
            <w:gridSpan w:val="5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Характеристики селей</w:t>
            </w:r>
          </w:p>
        </w:tc>
        <w:tc>
          <w:tcPr>
            <w:tcW w:w="1613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78C" w:rsidRPr="00E3578C" w:rsidTr="00F54594">
        <w:tc>
          <w:tcPr>
            <w:tcW w:w="1335" w:type="dxa"/>
            <w:vMerge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Объем, м</w:t>
            </w:r>
            <w:r w:rsidRPr="00E3578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Расход, м</w:t>
            </w:r>
            <w:r w:rsidRPr="00E3578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3578C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E3578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2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Скорость, м/</w:t>
            </w:r>
            <w:proofErr w:type="gramStart"/>
            <w:r w:rsidRPr="00E3578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 xml:space="preserve">Высота валов, </w:t>
            </w:r>
            <w:proofErr w:type="gramStart"/>
            <w:r w:rsidRPr="00E3578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 xml:space="preserve">Диаметр переносимых валунов, </w:t>
            </w:r>
            <w:proofErr w:type="gramStart"/>
            <w:r w:rsidRPr="00E3578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3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Категория ЧС, которая может возникнуть при прохождении селя</w:t>
            </w:r>
          </w:p>
        </w:tc>
      </w:tr>
      <w:tr w:rsidR="00E3578C" w:rsidRPr="00E3578C" w:rsidTr="00F54594">
        <w:tc>
          <w:tcPr>
            <w:tcW w:w="1335" w:type="dxa"/>
            <w:vAlign w:val="center"/>
          </w:tcPr>
          <w:p w:rsidR="00E3578C" w:rsidRPr="00E3578C" w:rsidRDefault="00E3578C" w:rsidP="00F54594">
            <w:pPr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 xml:space="preserve">1. Очень </w:t>
            </w:r>
          </w:p>
          <w:p w:rsidR="00E3578C" w:rsidRPr="00E3578C" w:rsidRDefault="00E3578C" w:rsidP="00F54594">
            <w:pPr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 xml:space="preserve">   крупные</w:t>
            </w:r>
          </w:p>
        </w:tc>
        <w:tc>
          <w:tcPr>
            <w:tcW w:w="132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Более 1000000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Более 1000</w:t>
            </w:r>
          </w:p>
        </w:tc>
        <w:tc>
          <w:tcPr>
            <w:tcW w:w="132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Более 10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Более 15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Более 3</w:t>
            </w:r>
          </w:p>
        </w:tc>
        <w:tc>
          <w:tcPr>
            <w:tcW w:w="1613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Глобальная</w:t>
            </w:r>
          </w:p>
        </w:tc>
      </w:tr>
      <w:tr w:rsidR="00E3578C" w:rsidRPr="00E3578C" w:rsidTr="00F54594">
        <w:tc>
          <w:tcPr>
            <w:tcW w:w="1335" w:type="dxa"/>
            <w:vAlign w:val="center"/>
          </w:tcPr>
          <w:p w:rsidR="00E3578C" w:rsidRPr="00E3578C" w:rsidRDefault="00E3578C" w:rsidP="00F54594">
            <w:pPr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2. Крупные</w:t>
            </w:r>
          </w:p>
        </w:tc>
        <w:tc>
          <w:tcPr>
            <w:tcW w:w="132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100000-1000000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100-1000</w:t>
            </w:r>
          </w:p>
        </w:tc>
        <w:tc>
          <w:tcPr>
            <w:tcW w:w="132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8-15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1613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Региональная</w:t>
            </w:r>
          </w:p>
        </w:tc>
      </w:tr>
      <w:tr w:rsidR="00E3578C" w:rsidRPr="00E3578C" w:rsidTr="00F54594">
        <w:tc>
          <w:tcPr>
            <w:tcW w:w="1335" w:type="dxa"/>
            <w:vAlign w:val="center"/>
          </w:tcPr>
          <w:p w:rsidR="00E3578C" w:rsidRPr="00E3578C" w:rsidRDefault="00E3578C" w:rsidP="00F54594">
            <w:pPr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3. Средние</w:t>
            </w:r>
          </w:p>
        </w:tc>
        <w:tc>
          <w:tcPr>
            <w:tcW w:w="132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10000-100000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10-100</w:t>
            </w:r>
          </w:p>
        </w:tc>
        <w:tc>
          <w:tcPr>
            <w:tcW w:w="132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0,5-1</w:t>
            </w:r>
          </w:p>
        </w:tc>
        <w:tc>
          <w:tcPr>
            <w:tcW w:w="1613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Местная</w:t>
            </w:r>
          </w:p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78C" w:rsidRPr="00E3578C" w:rsidTr="00F54594">
        <w:tc>
          <w:tcPr>
            <w:tcW w:w="1335" w:type="dxa"/>
            <w:vAlign w:val="center"/>
          </w:tcPr>
          <w:p w:rsidR="00E3578C" w:rsidRPr="00E3578C" w:rsidRDefault="00E3578C" w:rsidP="00F54594">
            <w:pPr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4. Мелкие</w:t>
            </w:r>
          </w:p>
        </w:tc>
        <w:tc>
          <w:tcPr>
            <w:tcW w:w="132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Менее 10000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Менее 10</w:t>
            </w:r>
          </w:p>
        </w:tc>
        <w:tc>
          <w:tcPr>
            <w:tcW w:w="132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Менее 3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Менее 5</w:t>
            </w:r>
          </w:p>
        </w:tc>
        <w:tc>
          <w:tcPr>
            <w:tcW w:w="132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Менее 0,5</w:t>
            </w:r>
          </w:p>
        </w:tc>
        <w:tc>
          <w:tcPr>
            <w:tcW w:w="1613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8C">
              <w:rPr>
                <w:rFonts w:ascii="Times New Roman" w:hAnsi="Times New Roman"/>
                <w:sz w:val="24"/>
                <w:szCs w:val="24"/>
              </w:rPr>
              <w:t>Объектовая</w:t>
            </w:r>
          </w:p>
        </w:tc>
      </w:tr>
    </w:tbl>
    <w:p w:rsidR="00E3578C" w:rsidRPr="00E3578C" w:rsidRDefault="00E3578C" w:rsidP="00E3578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Таблица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578C">
        <w:rPr>
          <w:rFonts w:ascii="Times New Roman" w:hAnsi="Times New Roman"/>
          <w:sz w:val="28"/>
          <w:szCs w:val="28"/>
        </w:rPr>
        <w:t>2 – Классификация чрезвычайных ситуаций по степени тяжести последствий</w:t>
      </w:r>
    </w:p>
    <w:p w:rsidR="00E3578C" w:rsidRPr="00E3578C" w:rsidRDefault="00E3578C" w:rsidP="00E357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846"/>
        <w:gridCol w:w="2427"/>
        <w:gridCol w:w="2540"/>
        <w:gridCol w:w="2428"/>
      </w:tblGrid>
      <w:tr w:rsidR="00E3578C" w:rsidRPr="00E3578C" w:rsidTr="00F54594">
        <w:tc>
          <w:tcPr>
            <w:tcW w:w="1614" w:type="dxa"/>
            <w:vMerge w:val="restart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Категория ЧС</w:t>
            </w:r>
          </w:p>
        </w:tc>
        <w:tc>
          <w:tcPr>
            <w:tcW w:w="7283" w:type="dxa"/>
            <w:gridSpan w:val="3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Тяжесть последствий</w:t>
            </w:r>
          </w:p>
        </w:tc>
      </w:tr>
      <w:tr w:rsidR="00E3578C" w:rsidRPr="00E3578C" w:rsidTr="00F54594">
        <w:tc>
          <w:tcPr>
            <w:tcW w:w="1614" w:type="dxa"/>
            <w:vMerge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7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Число погибших людей</w:t>
            </w:r>
          </w:p>
        </w:tc>
        <w:tc>
          <w:tcPr>
            <w:tcW w:w="2428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Нарушение условий жизнедеятельности населения, человек</w:t>
            </w:r>
          </w:p>
        </w:tc>
        <w:tc>
          <w:tcPr>
            <w:tcW w:w="2428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Материальный ущерб, млн тенге</w:t>
            </w:r>
          </w:p>
        </w:tc>
      </w:tr>
      <w:tr w:rsidR="00E3578C" w:rsidRPr="00E3578C" w:rsidTr="00F54594">
        <w:tc>
          <w:tcPr>
            <w:tcW w:w="1614" w:type="dxa"/>
          </w:tcPr>
          <w:p w:rsidR="00E3578C" w:rsidRPr="00E3578C" w:rsidRDefault="00E3578C" w:rsidP="00F5459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Объектовая</w:t>
            </w:r>
          </w:p>
        </w:tc>
        <w:tc>
          <w:tcPr>
            <w:tcW w:w="2427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Менее 10</w:t>
            </w:r>
          </w:p>
        </w:tc>
        <w:tc>
          <w:tcPr>
            <w:tcW w:w="2428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50-100</w:t>
            </w:r>
          </w:p>
        </w:tc>
        <w:tc>
          <w:tcPr>
            <w:tcW w:w="2428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12-36</w:t>
            </w:r>
          </w:p>
        </w:tc>
      </w:tr>
      <w:tr w:rsidR="00E3578C" w:rsidRPr="00E3578C" w:rsidTr="00F54594">
        <w:tc>
          <w:tcPr>
            <w:tcW w:w="1614" w:type="dxa"/>
          </w:tcPr>
          <w:p w:rsidR="00E3578C" w:rsidRPr="00E3578C" w:rsidRDefault="00E3578C" w:rsidP="00F5459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Местная</w:t>
            </w:r>
          </w:p>
        </w:tc>
        <w:tc>
          <w:tcPr>
            <w:tcW w:w="2427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10-50</w:t>
            </w:r>
          </w:p>
        </w:tc>
        <w:tc>
          <w:tcPr>
            <w:tcW w:w="2428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100-500</w:t>
            </w:r>
          </w:p>
        </w:tc>
        <w:tc>
          <w:tcPr>
            <w:tcW w:w="2428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36-240</w:t>
            </w:r>
          </w:p>
        </w:tc>
      </w:tr>
      <w:tr w:rsidR="00E3578C" w:rsidRPr="00E3578C" w:rsidTr="00F54594">
        <w:tc>
          <w:tcPr>
            <w:tcW w:w="1614" w:type="dxa"/>
          </w:tcPr>
          <w:p w:rsidR="00E3578C" w:rsidRPr="00E3578C" w:rsidRDefault="00E3578C" w:rsidP="00F5459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Региональная</w:t>
            </w:r>
          </w:p>
        </w:tc>
        <w:tc>
          <w:tcPr>
            <w:tcW w:w="2427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50-200</w:t>
            </w:r>
          </w:p>
        </w:tc>
        <w:tc>
          <w:tcPr>
            <w:tcW w:w="2428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500-1500</w:t>
            </w:r>
          </w:p>
        </w:tc>
        <w:tc>
          <w:tcPr>
            <w:tcW w:w="2428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240-480</w:t>
            </w:r>
          </w:p>
        </w:tc>
      </w:tr>
      <w:tr w:rsidR="00E3578C" w:rsidRPr="00E3578C" w:rsidTr="00F54594">
        <w:tc>
          <w:tcPr>
            <w:tcW w:w="1614" w:type="dxa"/>
          </w:tcPr>
          <w:p w:rsidR="00E3578C" w:rsidRPr="00E3578C" w:rsidRDefault="00E3578C" w:rsidP="00F5459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Глобальная</w:t>
            </w:r>
          </w:p>
        </w:tc>
        <w:tc>
          <w:tcPr>
            <w:tcW w:w="2427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Более 200</w:t>
            </w:r>
          </w:p>
        </w:tc>
        <w:tc>
          <w:tcPr>
            <w:tcW w:w="2428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Более 1500</w:t>
            </w:r>
          </w:p>
        </w:tc>
        <w:tc>
          <w:tcPr>
            <w:tcW w:w="2428" w:type="dxa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Более480</w:t>
            </w:r>
          </w:p>
        </w:tc>
      </w:tr>
    </w:tbl>
    <w:p w:rsidR="00E3578C" w:rsidRPr="00E3578C" w:rsidRDefault="00E3578C" w:rsidP="00E3578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lastRenderedPageBreak/>
        <w:t>Степень селевой опасности по 5 категориям (незначительная, слабая, средняя, сильная, очень сильная) определяется по сочетанию объема селя и его повторяемости (таблица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578C">
        <w:rPr>
          <w:rFonts w:ascii="Times New Roman" w:hAnsi="Times New Roman"/>
          <w:sz w:val="28"/>
          <w:szCs w:val="28"/>
        </w:rPr>
        <w:t>3).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При незначительной степени селевой опасности ею можно пренебречь и использовать территорию без ограничений.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При слабой селевой опасности использование территории необходимо вести с учетом селевой опасности, избегая использования селеопасных участков. Селевая безопасность на таких территориях может быть обеспечена без строительства защитных сооружений.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На участках, подверженных средней степени селевой опасности, нельзя строить жилые здания и производственные сооружения повышенной важности. Селевая безопасность может быть обеспечена регулированием землепользования, мониторингом и предупреждением о селевой опасности, усилением конструкции сооружений.</w:t>
      </w:r>
    </w:p>
    <w:p w:rsidR="00E3578C" w:rsidRPr="00E3578C" w:rsidRDefault="00E3578C" w:rsidP="00E357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Таблица 3 – Степень селевой опасности в зависимости от объема и повторяемости селей</w:t>
      </w:r>
    </w:p>
    <w:p w:rsidR="00E3578C" w:rsidRPr="00E3578C" w:rsidRDefault="00E3578C" w:rsidP="00E357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850"/>
        <w:gridCol w:w="1862"/>
        <w:gridCol w:w="1862"/>
        <w:gridCol w:w="1862"/>
        <w:gridCol w:w="2135"/>
      </w:tblGrid>
      <w:tr w:rsidR="00E3578C" w:rsidRPr="00E3578C" w:rsidTr="00F54594">
        <w:tc>
          <w:tcPr>
            <w:tcW w:w="1914" w:type="dxa"/>
            <w:vMerge w:val="restart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Объем, тыс. м</w:t>
            </w:r>
            <w:r w:rsidRPr="00E3578C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7657" w:type="dxa"/>
            <w:gridSpan w:val="4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Повторяемость, лет</w:t>
            </w:r>
          </w:p>
        </w:tc>
      </w:tr>
      <w:tr w:rsidR="00E3578C" w:rsidRPr="00E3578C" w:rsidTr="00F54594">
        <w:tc>
          <w:tcPr>
            <w:tcW w:w="1914" w:type="dxa"/>
            <w:vMerge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Чаще 20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20-50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50-100</w:t>
            </w:r>
          </w:p>
        </w:tc>
        <w:tc>
          <w:tcPr>
            <w:tcW w:w="191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Реже 100</w:t>
            </w:r>
          </w:p>
        </w:tc>
      </w:tr>
      <w:tr w:rsidR="00E3578C" w:rsidRPr="00E3578C" w:rsidTr="00F54594"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Более 1000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Очень сильная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Очень сильная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Сильная</w:t>
            </w:r>
          </w:p>
        </w:tc>
        <w:tc>
          <w:tcPr>
            <w:tcW w:w="191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Сильная</w:t>
            </w:r>
          </w:p>
        </w:tc>
      </w:tr>
      <w:tr w:rsidR="00E3578C" w:rsidRPr="00E3578C" w:rsidTr="00F54594"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100-1000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Очень сильная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Сильная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Сильная</w:t>
            </w:r>
          </w:p>
        </w:tc>
        <w:tc>
          <w:tcPr>
            <w:tcW w:w="191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</w:tr>
      <w:tr w:rsidR="00E3578C" w:rsidRPr="00E3578C" w:rsidTr="00F54594"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10-100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Сильная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Сильная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  <w:tc>
          <w:tcPr>
            <w:tcW w:w="191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Слабая</w:t>
            </w:r>
          </w:p>
        </w:tc>
      </w:tr>
      <w:tr w:rsidR="00E3578C" w:rsidRPr="00E3578C" w:rsidTr="00F54594"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Менее 10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Сильная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  <w:tc>
          <w:tcPr>
            <w:tcW w:w="1914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Слабая</w:t>
            </w:r>
          </w:p>
        </w:tc>
        <w:tc>
          <w:tcPr>
            <w:tcW w:w="1915" w:type="dxa"/>
            <w:vAlign w:val="center"/>
          </w:tcPr>
          <w:p w:rsidR="00E3578C" w:rsidRPr="00E3578C" w:rsidRDefault="00E3578C" w:rsidP="00F545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78C">
              <w:rPr>
                <w:rFonts w:ascii="Times New Roman" w:hAnsi="Times New Roman"/>
                <w:sz w:val="28"/>
                <w:szCs w:val="28"/>
              </w:rPr>
              <w:t>Незначительная</w:t>
            </w:r>
          </w:p>
        </w:tc>
      </w:tr>
    </w:tbl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 xml:space="preserve">Участки с сильной и очень сильной селевой опасностью запрещаются для использования. При необходимости </w:t>
      </w:r>
      <w:proofErr w:type="spellStart"/>
      <w:r w:rsidRPr="00E3578C">
        <w:rPr>
          <w:rFonts w:ascii="Times New Roman" w:hAnsi="Times New Roman"/>
          <w:sz w:val="28"/>
          <w:szCs w:val="28"/>
        </w:rPr>
        <w:t>селебезопасность</w:t>
      </w:r>
      <w:proofErr w:type="spellEnd"/>
      <w:r w:rsidRPr="00E3578C">
        <w:rPr>
          <w:rFonts w:ascii="Times New Roman" w:hAnsi="Times New Roman"/>
          <w:sz w:val="28"/>
          <w:szCs w:val="28"/>
        </w:rPr>
        <w:t xml:space="preserve"> на таких участках может быть </w:t>
      </w:r>
      <w:proofErr w:type="gramStart"/>
      <w:r w:rsidRPr="00E3578C">
        <w:rPr>
          <w:rFonts w:ascii="Times New Roman" w:hAnsi="Times New Roman"/>
          <w:sz w:val="28"/>
          <w:szCs w:val="28"/>
        </w:rPr>
        <w:t>обеспечена</w:t>
      </w:r>
      <w:proofErr w:type="gramEnd"/>
      <w:r w:rsidRPr="00E3578C">
        <w:rPr>
          <w:rFonts w:ascii="Times New Roman" w:hAnsi="Times New Roman"/>
          <w:sz w:val="28"/>
          <w:szCs w:val="28"/>
        </w:rPr>
        <w:t xml:space="preserve"> инженерными защитными сооружениями, например, </w:t>
      </w:r>
      <w:r w:rsidRPr="00E3578C">
        <w:rPr>
          <w:rFonts w:ascii="Times New Roman" w:hAnsi="Times New Roman"/>
          <w:sz w:val="28"/>
          <w:szCs w:val="28"/>
        </w:rPr>
        <w:lastRenderedPageBreak/>
        <w:t>дамбами. При этом целесообразность такой защиты должна быть определена анализом «</w:t>
      </w:r>
      <w:proofErr w:type="spellStart"/>
      <w:proofErr w:type="gramStart"/>
      <w:r w:rsidRPr="00E3578C">
        <w:rPr>
          <w:rFonts w:ascii="Times New Roman" w:hAnsi="Times New Roman"/>
          <w:sz w:val="28"/>
          <w:szCs w:val="28"/>
        </w:rPr>
        <w:t>затраты-ущерб</w:t>
      </w:r>
      <w:proofErr w:type="spellEnd"/>
      <w:proofErr w:type="gramEnd"/>
      <w:r w:rsidRPr="00E3578C">
        <w:rPr>
          <w:rFonts w:ascii="Times New Roman" w:hAnsi="Times New Roman"/>
          <w:sz w:val="28"/>
          <w:szCs w:val="28"/>
        </w:rPr>
        <w:t>».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 xml:space="preserve">Показатели селей для оценки степени селевой опасности и составления карт определяются по материалам многолетних наблюдений за селями в конкретных селевых очагах. При отсутствии достаточного количества фактических данных повторяемость и характеристики селей определяются полевыми исследованиями в селевых очагах и руслах, а также дешифрированием космических снимков высокого разрешения. 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 xml:space="preserve">Повторяемость селей определяется дендрохронологическими и </w:t>
      </w:r>
      <w:proofErr w:type="spellStart"/>
      <w:r w:rsidRPr="00E3578C">
        <w:rPr>
          <w:rFonts w:ascii="Times New Roman" w:hAnsi="Times New Roman"/>
          <w:sz w:val="28"/>
          <w:szCs w:val="28"/>
        </w:rPr>
        <w:t>лихенометрическими</w:t>
      </w:r>
      <w:proofErr w:type="spellEnd"/>
      <w:r w:rsidRPr="00E3578C">
        <w:rPr>
          <w:rFonts w:ascii="Times New Roman" w:hAnsi="Times New Roman"/>
          <w:sz w:val="28"/>
          <w:szCs w:val="28"/>
        </w:rPr>
        <w:t xml:space="preserve"> методами и по сохранности селевых отложений. </w:t>
      </w:r>
      <w:proofErr w:type="spellStart"/>
      <w:r w:rsidRPr="00E3578C">
        <w:rPr>
          <w:rFonts w:ascii="Times New Roman" w:hAnsi="Times New Roman"/>
          <w:sz w:val="28"/>
          <w:szCs w:val="28"/>
        </w:rPr>
        <w:t>Незадернованность</w:t>
      </w:r>
      <w:proofErr w:type="spellEnd"/>
      <w:r w:rsidRPr="00E3578C">
        <w:rPr>
          <w:rFonts w:ascii="Times New Roman" w:hAnsi="Times New Roman"/>
          <w:sz w:val="28"/>
          <w:szCs w:val="28"/>
        </w:rPr>
        <w:t xml:space="preserve"> селевых отложений свидетельствует о частой повторяемости селей. Селевые отложения, покрытые травянистой, кустарниковой растительностью и молодым лиственным лесом характерны для редко </w:t>
      </w:r>
      <w:proofErr w:type="gramStart"/>
      <w:r w:rsidRPr="00E3578C">
        <w:rPr>
          <w:rFonts w:ascii="Times New Roman" w:hAnsi="Times New Roman"/>
          <w:sz w:val="28"/>
          <w:szCs w:val="28"/>
        </w:rPr>
        <w:t>повторяющихся</w:t>
      </w:r>
      <w:proofErr w:type="gramEnd"/>
      <w:r w:rsidRPr="00E3578C">
        <w:rPr>
          <w:rFonts w:ascii="Times New Roman" w:hAnsi="Times New Roman"/>
          <w:sz w:val="28"/>
          <w:szCs w:val="28"/>
        </w:rPr>
        <w:t xml:space="preserve"> селей. Хорошо задернованные отложения, поросшие взрослым хвойным лесом, с замшелыми валунами показывают, что на этом участке сели повторяются очень редко.</w:t>
      </w:r>
    </w:p>
    <w:p w:rsidR="00E3578C" w:rsidRPr="00E3578C" w:rsidRDefault="00E3578C" w:rsidP="00E357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78C">
        <w:rPr>
          <w:rFonts w:ascii="Times New Roman" w:hAnsi="Times New Roman"/>
          <w:sz w:val="28"/>
          <w:szCs w:val="28"/>
        </w:rPr>
        <w:t>Площадь распространения селевых отложений, высота валов и диаметр принесенных селями валунов позволяет оценить объем селя, высоту потока и его скорость.</w:t>
      </w:r>
    </w:p>
    <w:p w:rsidR="00E3578C" w:rsidRDefault="00E3578C" w:rsidP="00E3578C">
      <w:pPr>
        <w:tabs>
          <w:tab w:val="left" w:pos="-2694"/>
        </w:tabs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На рисунке 1 представлен пример карты степени селевой опасности, составленной по разработанной методике</w:t>
      </w:r>
      <w:proofErr w:type="gramStart"/>
      <w:r>
        <w:rPr>
          <w:rFonts w:ascii="Times New Roman" w:eastAsia="MS Mincho" w:hAnsi="Times New Roman"/>
          <w:sz w:val="28"/>
          <w:szCs w:val="28"/>
        </w:rPr>
        <w:t>.</w:t>
      </w:r>
      <w:proofErr w:type="gramEnd"/>
      <w:r>
        <w:rPr>
          <w:rFonts w:ascii="Times New Roman" w:eastAsia="MS Mincho" w:hAnsi="Times New Roman"/>
          <w:sz w:val="28"/>
          <w:szCs w:val="28"/>
        </w:rPr>
        <w:t xml:space="preserve"> На рисунке 2 представлены условные обозначения к картам степени селевой опасности. </w:t>
      </w:r>
      <w:r w:rsidRPr="00E3578C">
        <w:rPr>
          <w:rFonts w:ascii="Times New Roman" w:eastAsia="MS Mincho" w:hAnsi="Times New Roman"/>
          <w:sz w:val="28"/>
          <w:szCs w:val="28"/>
        </w:rPr>
        <w:t xml:space="preserve">Карты составлены в масштабе 1:100 000. На картах показаны селевые русла с разной степенью селевой опасности в зависимости от объемов селей и их повторяемости. На картах показаны также прорывоопасные приледниковые озера, крупные селевые врезы и селезащитные сооружения. </w:t>
      </w:r>
    </w:p>
    <w:p w:rsidR="00E3578C" w:rsidRPr="00E3578C" w:rsidRDefault="00E3578C" w:rsidP="00E3578C">
      <w:pPr>
        <w:tabs>
          <w:tab w:val="left" w:pos="-2694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578C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4768" cy="8214969"/>
            <wp:effectExtent l="19050" t="0" r="3532" b="0"/>
            <wp:docPr id="5" name="Рисунок 2" descr="L:\ПФИ отчет 2018\Селевая опасность Талг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ФИ отчет 2018\Селевая опасность Талга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81" cy="82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C" w:rsidRPr="00E3578C" w:rsidRDefault="00E3578C" w:rsidP="00E3578C">
      <w:pPr>
        <w:tabs>
          <w:tab w:val="left" w:pos="-2694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578C">
        <w:rPr>
          <w:rFonts w:ascii="Times New Roman" w:eastAsia="Times New Roman" w:hAnsi="Times New Roman"/>
          <w:sz w:val="28"/>
          <w:szCs w:val="28"/>
          <w:lang w:eastAsia="ru-RU"/>
        </w:rPr>
        <w:t>Рисунок 1 – Карта степени селевой опасности в бассейнах рек</w:t>
      </w:r>
      <w:proofErr w:type="gramStart"/>
      <w:r w:rsidRPr="00E3578C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proofErr w:type="gramEnd"/>
      <w:r w:rsidRPr="00E3578C">
        <w:rPr>
          <w:rFonts w:ascii="Times New Roman" w:eastAsia="Times New Roman" w:hAnsi="Times New Roman"/>
          <w:sz w:val="28"/>
          <w:szCs w:val="28"/>
          <w:lang w:eastAsia="ru-RU"/>
        </w:rPr>
        <w:t>иши Алматы, Талгар и Есик</w:t>
      </w:r>
    </w:p>
    <w:p w:rsidR="00E3578C" w:rsidRPr="00E3578C" w:rsidRDefault="00E3578C" w:rsidP="00E3578C">
      <w:pPr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eastAsia="MS Mincho" w:hAnsi="Times New Roman"/>
          <w:sz w:val="28"/>
          <w:szCs w:val="28"/>
        </w:rPr>
      </w:pPr>
      <w:r w:rsidRPr="00E3578C">
        <w:rPr>
          <w:rFonts w:ascii="Times New Roman" w:eastAsia="MS Mincho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495849"/>
            <wp:effectExtent l="19050" t="0" r="3175" b="0"/>
            <wp:docPr id="7" name="Рисунок 1" descr="L:\ПФИ отчет 2018\условные знаки карт селе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ФИ отчет 2018\условные знаки карт селе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8C" w:rsidRPr="00E3578C" w:rsidRDefault="00E3578C" w:rsidP="00E3578C">
      <w:pPr>
        <w:spacing w:after="0" w:line="360" w:lineRule="auto"/>
        <w:jc w:val="center"/>
        <w:rPr>
          <w:rFonts w:ascii="Times New Roman" w:eastAsia="MS Mincho" w:hAnsi="Times New Roman"/>
          <w:sz w:val="28"/>
          <w:szCs w:val="28"/>
        </w:rPr>
      </w:pPr>
      <w:r w:rsidRPr="00E3578C">
        <w:rPr>
          <w:rFonts w:ascii="Times New Roman" w:eastAsia="MS Mincho" w:hAnsi="Times New Roman"/>
          <w:sz w:val="28"/>
          <w:szCs w:val="28"/>
        </w:rPr>
        <w:t xml:space="preserve">Рисунок </w:t>
      </w:r>
      <w:r>
        <w:rPr>
          <w:rFonts w:ascii="Times New Roman" w:eastAsia="MS Mincho" w:hAnsi="Times New Roman"/>
          <w:sz w:val="28"/>
          <w:szCs w:val="28"/>
        </w:rPr>
        <w:t>2</w:t>
      </w:r>
      <w:r w:rsidRPr="00E3578C">
        <w:rPr>
          <w:rFonts w:ascii="Times New Roman" w:eastAsia="MS Mincho" w:hAnsi="Times New Roman"/>
          <w:sz w:val="28"/>
          <w:szCs w:val="28"/>
        </w:rPr>
        <w:t xml:space="preserve"> – Условные обозначения к картам степени селевой опасности</w:t>
      </w:r>
    </w:p>
    <w:p w:rsidR="00E01892" w:rsidRPr="00E3578C" w:rsidRDefault="00E01892" w:rsidP="00E3578C">
      <w:pPr>
        <w:rPr>
          <w:sz w:val="28"/>
          <w:szCs w:val="28"/>
        </w:rPr>
      </w:pPr>
    </w:p>
    <w:p w:rsidR="00E3578C" w:rsidRPr="00E3578C" w:rsidRDefault="00E3578C" w:rsidP="00E3578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3578C" w:rsidRPr="00E3578C" w:rsidRDefault="00E3578C" w:rsidP="00E3578C">
      <w:pPr>
        <w:rPr>
          <w:sz w:val="28"/>
          <w:szCs w:val="28"/>
        </w:rPr>
      </w:pPr>
    </w:p>
    <w:sectPr w:rsidR="00E3578C" w:rsidRPr="00E3578C" w:rsidSect="00E01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78C"/>
    <w:rsid w:val="00045621"/>
    <w:rsid w:val="00126885"/>
    <w:rsid w:val="00312E7A"/>
    <w:rsid w:val="00552DCF"/>
    <w:rsid w:val="009F20B0"/>
    <w:rsid w:val="00B23870"/>
    <w:rsid w:val="00DE15D8"/>
    <w:rsid w:val="00E01892"/>
    <w:rsid w:val="00E35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8C"/>
    <w:pPr>
      <w:spacing w:after="200"/>
      <w:ind w:firstLine="0"/>
      <w:jc w:val="left"/>
    </w:pPr>
    <w:rPr>
      <w:rFonts w:ascii="Calibri" w:hAnsi="Calibri" w:cs="Times New Roman"/>
    </w:rPr>
  </w:style>
  <w:style w:type="paragraph" w:styleId="5">
    <w:name w:val="heading 5"/>
    <w:basedOn w:val="a"/>
    <w:next w:val="a"/>
    <w:link w:val="50"/>
    <w:qFormat/>
    <w:rsid w:val="009F20B0"/>
    <w:pPr>
      <w:keepNext/>
      <w:spacing w:after="0" w:line="240" w:lineRule="auto"/>
      <w:ind w:right="-5" w:firstLine="540"/>
      <w:jc w:val="center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9F20B0"/>
    <w:pPr>
      <w:keepNext/>
      <w:keepLines/>
      <w:spacing w:before="200" w:after="0"/>
      <w:ind w:firstLine="709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20B0"/>
    <w:rPr>
      <w:b/>
      <w:bCs/>
    </w:rPr>
  </w:style>
  <w:style w:type="character" w:styleId="a4">
    <w:name w:val="Emphasis"/>
    <w:basedOn w:val="a0"/>
    <w:uiPriority w:val="20"/>
    <w:qFormat/>
    <w:rsid w:val="009F20B0"/>
    <w:rPr>
      <w:i/>
      <w:iCs/>
    </w:rPr>
  </w:style>
  <w:style w:type="paragraph" w:styleId="a5">
    <w:name w:val="List Paragraph"/>
    <w:basedOn w:val="a"/>
    <w:uiPriority w:val="34"/>
    <w:qFormat/>
    <w:rsid w:val="009F20B0"/>
    <w:pPr>
      <w:spacing w:after="0"/>
      <w:ind w:left="720" w:firstLine="709"/>
      <w:contextualSpacing/>
      <w:jc w:val="center"/>
    </w:pPr>
    <w:rPr>
      <w:rFonts w:asciiTheme="minorHAnsi" w:eastAsiaTheme="minorHAnsi" w:hAnsiTheme="minorHAnsi" w:cstheme="minorBidi"/>
    </w:rPr>
  </w:style>
  <w:style w:type="character" w:customStyle="1" w:styleId="50">
    <w:name w:val="Заголовок 5 Знак"/>
    <w:basedOn w:val="a0"/>
    <w:link w:val="5"/>
    <w:rsid w:val="009F20B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F20B0"/>
    <w:rPr>
      <w:rFonts w:ascii="Cambria" w:eastAsia="Times New Roman" w:hAnsi="Cambria" w:cs="Times New Roman"/>
      <w:color w:val="404040"/>
      <w:sz w:val="20"/>
      <w:szCs w:val="20"/>
    </w:rPr>
  </w:style>
  <w:style w:type="paragraph" w:styleId="a6">
    <w:name w:val="caption"/>
    <w:basedOn w:val="a"/>
    <w:next w:val="a"/>
    <w:qFormat/>
    <w:rsid w:val="009F20B0"/>
    <w:pPr>
      <w:spacing w:after="0" w:line="360" w:lineRule="auto"/>
      <w:ind w:right="-185" w:firstLine="480"/>
      <w:jc w:val="center"/>
    </w:pPr>
    <w:rPr>
      <w:rFonts w:ascii="Times New Roman" w:eastAsia="Times New Roman" w:hAnsi="Times New Roman"/>
      <w:color w:val="000000"/>
      <w:sz w:val="28"/>
      <w:szCs w:val="18"/>
      <w:lang w:eastAsia="ru-RU"/>
    </w:rPr>
  </w:style>
  <w:style w:type="paragraph" w:styleId="a7">
    <w:name w:val="No Spacing"/>
    <w:uiPriority w:val="1"/>
    <w:qFormat/>
    <w:rsid w:val="009F20B0"/>
    <w:pPr>
      <w:spacing w:line="240" w:lineRule="auto"/>
      <w:jc w:val="left"/>
    </w:pPr>
    <w:rPr>
      <w:rFonts w:ascii="Calibri" w:hAnsi="Calibri" w:cs="Times New Roman"/>
    </w:rPr>
  </w:style>
  <w:style w:type="table" w:styleId="a8">
    <w:name w:val="Table Grid"/>
    <w:basedOn w:val="a1"/>
    <w:uiPriority w:val="59"/>
    <w:rsid w:val="00E3578C"/>
    <w:pPr>
      <w:spacing w:line="240" w:lineRule="auto"/>
      <w:ind w:firstLine="0"/>
      <w:jc w:val="left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3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5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1107</Words>
  <Characters>6312</Characters>
  <Application>Microsoft Office Word</Application>
  <DocSecurity>0</DocSecurity>
  <Lines>52</Lines>
  <Paragraphs>14</Paragraphs>
  <ScaleCrop>false</ScaleCrop>
  <Company/>
  <LinksUpToDate>false</LinksUpToDate>
  <CharactersWithSpaces>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VPB</dc:creator>
  <cp:lastModifiedBy>VPB</cp:lastModifiedBy>
  <cp:revision>1</cp:revision>
  <dcterms:created xsi:type="dcterms:W3CDTF">2018-11-20T04:17:00Z</dcterms:created>
  <dcterms:modified xsi:type="dcterms:W3CDTF">2018-11-20T06:05:00Z</dcterms:modified>
</cp:coreProperties>
</file>